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601C5" w:rsidTr="000C4FC7">
        <w:tc>
          <w:tcPr>
            <w:tcW w:w="3246" w:type="dxa"/>
          </w:tcPr>
          <w:p w:rsidR="008601C5" w:rsidRPr="00E55243" w:rsidRDefault="008601C5" w:rsidP="000C4FC7">
            <w:pPr>
              <w:spacing w:line="360" w:lineRule="auto"/>
              <w:ind w:left="26"/>
              <w:jc w:val="left"/>
              <w:rPr>
                <w:rFonts w:ascii="David" w:hAnsi="David" w:cs="David"/>
                <w:sz w:val="28"/>
                <w:szCs w:val="28"/>
                <w:rtl/>
              </w:rPr>
            </w:pPr>
            <w:bookmarkStart w:id="0" w:name="_GoBack"/>
            <w:bookmarkEnd w:id="0"/>
            <w:r w:rsidRPr="00E55243">
              <w:rPr>
                <w:rFonts w:ascii="David" w:hAnsi="David" w:cs="David"/>
                <w:b/>
                <w:bCs/>
                <w:sz w:val="28"/>
                <w:szCs w:val="28"/>
                <w:rtl/>
              </w:rPr>
              <w:t>העורר</w:t>
            </w:r>
            <w:r w:rsidR="00E55243">
              <w:rPr>
                <w:rFonts w:ascii="David" w:hAnsi="David" w:cs="David" w:hint="cs"/>
                <w:sz w:val="28"/>
                <w:szCs w:val="28"/>
                <w:rtl/>
              </w:rPr>
              <w:t>:</w:t>
            </w:r>
          </w:p>
        </w:tc>
        <w:tc>
          <w:tcPr>
            <w:tcW w:w="5734" w:type="dxa"/>
          </w:tcPr>
          <w:p w:rsidR="008601C5" w:rsidRPr="00E55243" w:rsidRDefault="008601C5" w:rsidP="000C4FC7">
            <w:pPr>
              <w:contextualSpacing/>
              <w:jc w:val="left"/>
              <w:rPr>
                <w:rFonts w:ascii="David" w:hAnsi="David" w:cs="David"/>
                <w:b/>
                <w:bCs/>
                <w:sz w:val="28"/>
                <w:szCs w:val="28"/>
                <w:rtl/>
              </w:rPr>
            </w:pPr>
            <w:r w:rsidRPr="00E55243">
              <w:rPr>
                <w:rFonts w:ascii="David" w:hAnsi="David" w:cs="David" w:hint="cs"/>
                <w:b/>
                <w:bCs/>
                <w:sz w:val="28"/>
                <w:szCs w:val="28"/>
                <w:rtl/>
              </w:rPr>
              <w:t>פלוני</w:t>
            </w:r>
          </w:p>
        </w:tc>
      </w:tr>
      <w:tr w:rsidR="008601C5" w:rsidTr="000C4FC7">
        <w:tc>
          <w:tcPr>
            <w:tcW w:w="8980" w:type="dxa"/>
            <w:gridSpan w:val="2"/>
          </w:tcPr>
          <w:p w:rsidR="008601C5" w:rsidRPr="00E55243" w:rsidRDefault="008601C5" w:rsidP="000C4FC7">
            <w:pPr>
              <w:jc w:val="left"/>
              <w:rPr>
                <w:rFonts w:ascii="David" w:hAnsi="David" w:cs="David"/>
                <w:b/>
                <w:bCs/>
                <w:sz w:val="28"/>
                <w:szCs w:val="28"/>
                <w:rtl/>
              </w:rPr>
            </w:pPr>
          </w:p>
          <w:p w:rsidR="008601C5" w:rsidRPr="00E55243" w:rsidRDefault="008601C5" w:rsidP="008601C5">
            <w:pPr>
              <w:jc w:val="left"/>
              <w:rPr>
                <w:rFonts w:ascii="David" w:hAnsi="David" w:cs="David"/>
                <w:sz w:val="28"/>
                <w:szCs w:val="28"/>
                <w:rtl/>
              </w:rPr>
            </w:pPr>
            <w:r w:rsidRPr="00E55243">
              <w:rPr>
                <w:rFonts w:ascii="David" w:hAnsi="David" w:cs="David" w:hint="cs"/>
                <w:sz w:val="28"/>
                <w:szCs w:val="28"/>
                <w:rtl/>
              </w:rPr>
              <w:t xml:space="preserve">                                                              </w:t>
            </w:r>
            <w:r w:rsidRPr="00E55243">
              <w:rPr>
                <w:rFonts w:ascii="David" w:hAnsi="David" w:cs="David"/>
                <w:sz w:val="28"/>
                <w:szCs w:val="28"/>
                <w:rtl/>
              </w:rPr>
              <w:t>נגד</w:t>
            </w:r>
          </w:p>
          <w:p w:rsidR="008601C5" w:rsidRPr="00E55243" w:rsidRDefault="008601C5" w:rsidP="000C4FC7">
            <w:pPr>
              <w:jc w:val="left"/>
              <w:rPr>
                <w:rFonts w:ascii="David" w:hAnsi="David" w:cs="David"/>
                <w:b/>
                <w:bCs/>
                <w:sz w:val="28"/>
                <w:szCs w:val="28"/>
              </w:rPr>
            </w:pPr>
          </w:p>
        </w:tc>
      </w:tr>
      <w:tr w:rsidR="008601C5" w:rsidRPr="00C21070" w:rsidTr="000C4FC7">
        <w:trPr>
          <w:trHeight w:val="740"/>
        </w:trPr>
        <w:tc>
          <w:tcPr>
            <w:tcW w:w="3246" w:type="dxa"/>
          </w:tcPr>
          <w:p w:rsidR="008601C5" w:rsidRPr="00E55243" w:rsidRDefault="008601C5" w:rsidP="000C4FC7">
            <w:pPr>
              <w:ind w:left="26"/>
              <w:jc w:val="left"/>
              <w:rPr>
                <w:rFonts w:ascii="David" w:hAnsi="David" w:cs="David"/>
                <w:b/>
                <w:bCs/>
                <w:sz w:val="28"/>
                <w:szCs w:val="28"/>
                <w:rtl/>
              </w:rPr>
            </w:pPr>
            <w:r w:rsidRPr="00E55243">
              <w:rPr>
                <w:rFonts w:ascii="David" w:hAnsi="David" w:cs="David"/>
                <w:b/>
                <w:bCs/>
                <w:sz w:val="28"/>
                <w:szCs w:val="28"/>
                <w:rtl/>
              </w:rPr>
              <w:t>המשיבים</w:t>
            </w:r>
            <w:r w:rsidR="00E55243">
              <w:rPr>
                <w:rFonts w:ascii="David" w:hAnsi="David" w:cs="David" w:hint="cs"/>
                <w:b/>
                <w:bCs/>
                <w:sz w:val="28"/>
                <w:szCs w:val="28"/>
                <w:rtl/>
              </w:rPr>
              <w:t>:</w:t>
            </w:r>
          </w:p>
        </w:tc>
        <w:tc>
          <w:tcPr>
            <w:tcW w:w="5734" w:type="dxa"/>
          </w:tcPr>
          <w:p w:rsidR="008601C5" w:rsidRPr="00E55243" w:rsidRDefault="008601C5" w:rsidP="008601C5">
            <w:pPr>
              <w:spacing w:line="360" w:lineRule="auto"/>
              <w:contextualSpacing/>
              <w:jc w:val="left"/>
              <w:rPr>
                <w:rFonts w:ascii="David" w:hAnsi="David" w:cs="David"/>
                <w:sz w:val="28"/>
                <w:szCs w:val="28"/>
                <w:rtl/>
              </w:rPr>
            </w:pPr>
            <w:r w:rsidRPr="00E55243">
              <w:rPr>
                <w:rFonts w:ascii="David" w:hAnsi="David" w:cs="David"/>
                <w:b/>
                <w:bCs/>
                <w:sz w:val="28"/>
                <w:szCs w:val="28"/>
              </w:rPr>
              <w:t>.1</w:t>
            </w:r>
            <w:r w:rsidRPr="00E55243">
              <w:rPr>
                <w:rFonts w:ascii="David" w:hAnsi="David" w:cs="David" w:hint="cs"/>
                <w:b/>
                <w:bCs/>
                <w:sz w:val="28"/>
                <w:szCs w:val="28"/>
                <w:rtl/>
              </w:rPr>
              <w:t>המ</w:t>
            </w:r>
            <w:r w:rsidRPr="00E55243">
              <w:rPr>
                <w:rFonts w:ascii="David" w:hAnsi="David" w:cs="David"/>
                <w:b/>
                <w:bCs/>
                <w:sz w:val="28"/>
                <w:szCs w:val="28"/>
                <w:rtl/>
              </w:rPr>
              <w:t xml:space="preserve">חלקה לשירותים חברתיים </w:t>
            </w:r>
          </w:p>
          <w:p w:rsidR="008601C5" w:rsidRPr="00E55243" w:rsidRDefault="008601C5" w:rsidP="008601C5">
            <w:pPr>
              <w:spacing w:line="360" w:lineRule="auto"/>
              <w:contextualSpacing/>
              <w:jc w:val="left"/>
              <w:rPr>
                <w:rFonts w:ascii="David" w:hAnsi="David" w:cs="David"/>
                <w:sz w:val="28"/>
                <w:szCs w:val="28"/>
                <w:rtl/>
              </w:rPr>
            </w:pPr>
            <w:r w:rsidRPr="00E55243">
              <w:rPr>
                <w:rFonts w:ascii="David" w:hAnsi="David" w:cs="David"/>
                <w:b/>
                <w:bCs/>
                <w:sz w:val="28"/>
                <w:szCs w:val="28"/>
              </w:rPr>
              <w:t>.2</w:t>
            </w:r>
            <w:r w:rsidRPr="00E55243">
              <w:rPr>
                <w:rFonts w:ascii="David" w:hAnsi="David" w:cs="David"/>
                <w:sz w:val="28"/>
                <w:szCs w:val="28"/>
                <w:rtl/>
              </w:rPr>
              <w:t xml:space="preserve"> </w:t>
            </w:r>
            <w:r w:rsidRPr="00E55243">
              <w:rPr>
                <w:rFonts w:ascii="David" w:hAnsi="David" w:cs="David" w:hint="cs"/>
                <w:b/>
                <w:bCs/>
                <w:sz w:val="28"/>
                <w:szCs w:val="28"/>
                <w:rtl/>
              </w:rPr>
              <w:t>פלונית</w:t>
            </w:r>
          </w:p>
          <w:p w:rsidR="00E55243" w:rsidRPr="00E55243" w:rsidRDefault="008601C5" w:rsidP="00E55243">
            <w:pPr>
              <w:spacing w:line="360" w:lineRule="auto"/>
              <w:contextualSpacing/>
              <w:jc w:val="left"/>
              <w:rPr>
                <w:rFonts w:ascii="David" w:hAnsi="David" w:cs="David"/>
                <w:b/>
                <w:bCs/>
                <w:sz w:val="28"/>
                <w:szCs w:val="28"/>
                <w:rtl/>
              </w:rPr>
            </w:pPr>
            <w:r w:rsidRPr="00E55243">
              <w:rPr>
                <w:rFonts w:ascii="David" w:hAnsi="David" w:cs="David"/>
                <w:b/>
                <w:bCs/>
                <w:sz w:val="28"/>
                <w:szCs w:val="28"/>
              </w:rPr>
              <w:t>.3</w:t>
            </w:r>
            <w:r w:rsidRPr="00E55243">
              <w:rPr>
                <w:rFonts w:ascii="David" w:hAnsi="David" w:cs="David"/>
                <w:sz w:val="28"/>
                <w:szCs w:val="28"/>
                <w:rtl/>
              </w:rPr>
              <w:t xml:space="preserve"> </w:t>
            </w:r>
            <w:r w:rsidRPr="00E55243">
              <w:rPr>
                <w:rFonts w:ascii="David" w:hAnsi="David" w:cs="David" w:hint="cs"/>
                <w:b/>
                <w:bCs/>
                <w:sz w:val="28"/>
                <w:szCs w:val="28"/>
                <w:rtl/>
              </w:rPr>
              <w:t>אפוטרופא ל</w:t>
            </w:r>
            <w:r w:rsidR="00E55243" w:rsidRPr="00E55243">
              <w:rPr>
                <w:rFonts w:ascii="David" w:hAnsi="David" w:cs="David" w:hint="cs"/>
                <w:b/>
                <w:bCs/>
                <w:sz w:val="28"/>
                <w:szCs w:val="28"/>
                <w:rtl/>
              </w:rPr>
              <w:t xml:space="preserve">דין </w:t>
            </w:r>
          </w:p>
          <w:p w:rsidR="008601C5" w:rsidRPr="00E55243" w:rsidRDefault="008601C5" w:rsidP="00E55243">
            <w:pPr>
              <w:spacing w:line="360" w:lineRule="auto"/>
              <w:contextualSpacing/>
              <w:jc w:val="left"/>
              <w:rPr>
                <w:rFonts w:ascii="David" w:hAnsi="David" w:cs="David"/>
                <w:sz w:val="28"/>
                <w:szCs w:val="28"/>
                <w:rtl/>
              </w:rPr>
            </w:pPr>
            <w:r w:rsidRPr="00E55243">
              <w:rPr>
                <w:rFonts w:ascii="David" w:hAnsi="David" w:cs="David"/>
                <w:b/>
                <w:bCs/>
                <w:sz w:val="28"/>
                <w:szCs w:val="28"/>
                <w:rtl/>
              </w:rPr>
              <w:t xml:space="preserve">  </w:t>
            </w:r>
          </w:p>
        </w:tc>
      </w:tr>
    </w:tbl>
    <w:p w:rsidR="00C813B4" w:rsidRDefault="00C813B4" w:rsidP="00C813B4">
      <w:pPr>
        <w:spacing w:after="0" w:line="360" w:lineRule="auto"/>
        <w:jc w:val="center"/>
        <w:rPr>
          <w:rFonts w:ascii="Arial" w:eastAsia="Times New Roman" w:hAnsi="Arial" w:cs="David"/>
          <w:b/>
          <w:bCs/>
          <w:noProof/>
          <w:sz w:val="28"/>
          <w:szCs w:val="28"/>
          <w:u w:val="single"/>
          <w:rtl/>
        </w:rPr>
      </w:pPr>
      <w:r w:rsidRPr="00C813B4">
        <w:rPr>
          <w:rFonts w:ascii="Arial" w:eastAsia="Times New Roman" w:hAnsi="Arial" w:cs="David"/>
          <w:b/>
          <w:bCs/>
          <w:noProof/>
          <w:sz w:val="28"/>
          <w:szCs w:val="28"/>
          <w:u w:val="single"/>
          <w:rtl/>
        </w:rPr>
        <w:t>החלטה</w:t>
      </w:r>
    </w:p>
    <w:p w:rsidR="00E55243" w:rsidRPr="00C813B4" w:rsidRDefault="00E55243" w:rsidP="00C813B4">
      <w:pPr>
        <w:spacing w:after="0" w:line="360" w:lineRule="auto"/>
        <w:jc w:val="center"/>
        <w:rPr>
          <w:rFonts w:ascii="Arial" w:eastAsia="Times New Roman" w:hAnsi="Arial" w:cs="David"/>
          <w:b/>
          <w:bCs/>
          <w:noProof/>
          <w:sz w:val="28"/>
          <w:szCs w:val="28"/>
          <w:u w:val="single"/>
          <w:rtl/>
        </w:rPr>
      </w:pPr>
    </w:p>
    <w:p w:rsidR="00C813B4" w:rsidRPr="00C813B4" w:rsidRDefault="00C813B4" w:rsidP="00C813B4">
      <w:pPr>
        <w:spacing w:after="0" w:line="360" w:lineRule="auto"/>
        <w:jc w:val="both"/>
        <w:rPr>
          <w:rFonts w:ascii="Times New Roman" w:eastAsia="Times New Roman" w:hAnsi="Times New Roman" w:cs="David"/>
          <w:noProof/>
          <w:sz w:val="24"/>
          <w:szCs w:val="24"/>
          <w:rtl/>
        </w:rPr>
      </w:pPr>
      <w:r w:rsidRPr="00C813B4">
        <w:rPr>
          <w:rFonts w:ascii="Times New Roman" w:eastAsia="Times New Roman" w:hAnsi="Times New Roman" w:cs="David" w:hint="cs"/>
          <w:noProof/>
          <w:sz w:val="24"/>
          <w:szCs w:val="24"/>
          <w:rtl/>
        </w:rPr>
        <w:t xml:space="preserve">ערר על החלטת בית משפט השלום לנוער בבאר שבע (כב' השופטת שרון ריבלין אחאי), מיום 24.10.23, במסגרתה הורתה על הוצאת הקטינה ממשמורת הוריה (העורר והמשיבה 2) והשמתה במרכז חירום למשך 30 יום, לצד הנחיות נוספות. </w:t>
      </w:r>
    </w:p>
    <w:p w:rsidR="00C813B4" w:rsidRPr="00C813B4" w:rsidRDefault="00C813B4" w:rsidP="00C813B4">
      <w:pPr>
        <w:spacing w:after="0" w:line="360" w:lineRule="auto"/>
        <w:jc w:val="both"/>
        <w:rPr>
          <w:rFonts w:ascii="Times New Roman" w:eastAsia="Times New Roman" w:hAnsi="Times New Roman" w:cs="David"/>
          <w:noProof/>
          <w:sz w:val="24"/>
          <w:szCs w:val="24"/>
          <w:rtl/>
        </w:rPr>
      </w:pPr>
    </w:p>
    <w:p w:rsidR="00C813B4" w:rsidRPr="00C813B4" w:rsidRDefault="00C813B4" w:rsidP="00C813B4">
      <w:pPr>
        <w:spacing w:after="0" w:line="360" w:lineRule="auto"/>
        <w:jc w:val="both"/>
        <w:rPr>
          <w:rFonts w:ascii="Times New Roman" w:eastAsia="Times New Roman" w:hAnsi="Times New Roman" w:cs="David"/>
          <w:noProof/>
          <w:sz w:val="24"/>
          <w:szCs w:val="24"/>
          <w:rtl/>
        </w:rPr>
      </w:pPr>
      <w:r w:rsidRPr="00C813B4">
        <w:rPr>
          <w:rFonts w:ascii="Times New Roman" w:eastAsia="Times New Roman" w:hAnsi="Times New Roman" w:cs="David" w:hint="cs"/>
          <w:noProof/>
          <w:sz w:val="24"/>
          <w:szCs w:val="24"/>
          <w:rtl/>
        </w:rPr>
        <w:t xml:space="preserve">במסגרת הטיעונים בכתב, כמו גם במסגרת הטיעונים בפניי כיום, נטען על ידי העורר, בין היתר, כי עצם היות העורר מתמודד נפש לכשעצמה אינה פוסלת אותו מלשמש כהורה מתפקד עבור הקטינה; התלונה אותה הגישה המשיבה 2 הינה תלונת שווא ולא בכדי זה שוחרר במסגרת מעצר הימים ועל בית המשפט שלא לקחתה במכלול שיקוליו; המדובר בקטינה רגישה מאוד לחלב עד כדי סכנת חיים ועל כן, יש להותירה במסגרת משפחתה ולא להעמידה בסיכון בשל אותה רגישות; הקטינה אינה מצויה בסכנה דחופה ועל כן, לא ברור מדוע יש צורך להעבירה למרכז חירום, מקום "קר ומנוכר", מבלי להימצא בסביבתה הטבעית; שומה היה על בית משפט קמא לשמוע את בני משפחתו של העורר שהוצעו כחלופה נוספת למקום הימצאות הקטינה; גם אם הקטינה מסרה בעבר שהעורר סטר לה, הרי שמדובר באירוע חד פעמי והוא בפני עצמו אינו מצדיק הוצאת הקטינה ממשמרתו; אין ראיות לקשיי התפקוד של העורר; קיומו של סכסוך בין העורר לאמה של הקטינה גם הוא בפני עצמו אינו מהווה סיבה להוצאתה למרכז חירום ולראייה, זוגות גרושים רבים ממשיכים לגדל ילדיהם בסביבתם הטבעית. כמכלול, הוצאת הקטינה למרכז חירום יש בה משום פגיעה בטובתה. </w:t>
      </w:r>
    </w:p>
    <w:p w:rsidR="00C813B4" w:rsidRPr="00C813B4" w:rsidRDefault="00C813B4" w:rsidP="00C813B4">
      <w:pPr>
        <w:spacing w:after="0" w:line="360" w:lineRule="auto"/>
        <w:jc w:val="both"/>
        <w:rPr>
          <w:rFonts w:ascii="Times New Roman" w:eastAsia="Times New Roman" w:hAnsi="Times New Roman" w:cs="David"/>
          <w:noProof/>
          <w:sz w:val="24"/>
          <w:szCs w:val="24"/>
          <w:rtl/>
        </w:rPr>
      </w:pPr>
    </w:p>
    <w:p w:rsidR="00C813B4" w:rsidRPr="00C813B4" w:rsidRDefault="00C813B4" w:rsidP="00C813B4">
      <w:pPr>
        <w:spacing w:after="0" w:line="360" w:lineRule="auto"/>
        <w:jc w:val="both"/>
        <w:rPr>
          <w:rFonts w:ascii="Times New Roman" w:eastAsia="Times New Roman" w:hAnsi="Times New Roman" w:cs="David"/>
          <w:noProof/>
          <w:sz w:val="24"/>
          <w:szCs w:val="24"/>
          <w:rtl/>
        </w:rPr>
      </w:pPr>
      <w:r w:rsidRPr="00C813B4">
        <w:rPr>
          <w:rFonts w:ascii="Times New Roman" w:eastAsia="Times New Roman" w:hAnsi="Times New Roman" w:cs="David" w:hint="cs"/>
          <w:noProof/>
          <w:sz w:val="24"/>
          <w:szCs w:val="24"/>
          <w:rtl/>
        </w:rPr>
        <w:t xml:space="preserve">במסגרת הדיון שנערך בפניי כיום, ב"כ העורר הגיש "חוות דעת פסיכיאטרית" החתומה על ידי ד"ר מיכאל בונצל שלא הייתה מונחת בפני בית משפט קמא, התומכת בדרישת העורר להותיר את הקטינה בחסות האב, לצד התנגדות להוצאתה למרכז חירום. יש בכך כדי לשלול את "הרכיב הנפשי" העומד בבסיס הבקשה להוצאת הקטינה, בפרט כאשר מחוות הדעת עולה שמדובר בעורר שמצבו הנפשי יציב. </w:t>
      </w:r>
      <w:r w:rsidRPr="00C813B4">
        <w:rPr>
          <w:rFonts w:ascii="Times New Roman" w:eastAsia="Times New Roman" w:hAnsi="Times New Roman" w:cs="David" w:hint="cs"/>
          <w:noProof/>
          <w:sz w:val="24"/>
          <w:szCs w:val="24"/>
          <w:rtl/>
        </w:rPr>
        <w:lastRenderedPageBreak/>
        <w:t xml:space="preserve">ב"כ העורר הוסיף וטען כי ככל שיש צורך בבחינת משפחת קלט חדשה, או אז נכון וראוי שהקטינה תמצא אצל קרובי משפחה על פי כל הסדר שיקבע על ידי בית המשפט. בהקשר לאמור, יצוין כי עובר לדיון נטען כי המשפחה הנוכחית בה מצויה הקטינה מוכנה להחזיק בקטינה שבועיים נוספים. </w:t>
      </w:r>
    </w:p>
    <w:p w:rsidR="00C813B4" w:rsidRPr="00C813B4" w:rsidRDefault="00C813B4" w:rsidP="00C813B4">
      <w:pPr>
        <w:spacing w:after="0" w:line="360" w:lineRule="auto"/>
        <w:jc w:val="both"/>
        <w:rPr>
          <w:rFonts w:ascii="Times New Roman" w:eastAsia="Times New Roman" w:hAnsi="Times New Roman"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ב"כ המשיבה 1 סומכת ידה על החלטת בית משפט קמא מנימוקיה. זו הדגישה כי מדובר בקטינה שעברה מספר משפחות בתוך תקופה קצרה. זו עמדה על מאפייני מרכז החירום בדגש על יכולתו לתת מענה לצרכים הטיפוליים המובהקים בעניינה של הקטינה. נטען כי מרכז החירום יוכל לדייק את צרכי הקטינה, לאבחנם ולמצוא את המענה האמיתי והנכון לטווח הארוך. הוטעם כי במסגרת המרכז, ניתן גם לסייע בקשר הראוי בין הקטינה להוריה ויתר המשפחה. המדובר בקטינהשמצבה הרגשי אינו טוב ועצם החשיפה שלה לעוצמת הסכסוך בין העורר ואם הקטינה, אינו מטיב עמה. עוד הודגשה הדחיפות במתן מענה ראוי, בשעה שמדובר ב"זמן ילד".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ב"כ המשיבה 2 הבהירה כי הגם שלא הגישו ערר על החלטת בית משפט קמא, הרי שהם מתנגדים נחרצות לכך שהקטינה תעבור לחסות העורר או למי מבני משפחתו.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ב"כ המשיב 3 התנגדה אף היא לערר מטעמים של טובת הקטינה. בדומה לב"כ המשיבה 1, פירטה את תלאותיה של אותה קטינה והאתגרים שהתמודדה ועליה להמשיך ולהתמודד מולם. לדידה, זכותה של הקטינה בשלב זה של חייה לעצור, לזכות לטיפול ראוי ולא להיות תלויה ברצון כזה או אחר של משפחה כזו או אחרת. הדברים אמורים בפרט נוכח מצב החירום בו אנו מצוים. </w:t>
      </w:r>
    </w:p>
    <w:p w:rsidR="00C813B4" w:rsidRPr="00C813B4" w:rsidRDefault="00E66C67" w:rsidP="00E66C67">
      <w:pPr>
        <w:tabs>
          <w:tab w:val="left" w:pos="2870"/>
        </w:tabs>
        <w:spacing w:after="0" w:line="360" w:lineRule="auto"/>
        <w:jc w:val="both"/>
        <w:rPr>
          <w:rFonts w:ascii="David" w:eastAsia="Times New Roman" w:hAnsi="David" w:cs="David"/>
          <w:noProof/>
          <w:sz w:val="24"/>
          <w:szCs w:val="24"/>
          <w:rtl/>
        </w:rPr>
      </w:pPr>
      <w:r>
        <w:rPr>
          <w:rFonts w:ascii="David" w:eastAsia="Times New Roman" w:hAnsi="David" w:cs="David"/>
          <w:noProof/>
          <w:sz w:val="24"/>
          <w:szCs w:val="24"/>
          <w:rtl/>
        </w:rPr>
        <w:tab/>
      </w:r>
    </w:p>
    <w:p w:rsidR="00C813B4" w:rsidRPr="00C813B4" w:rsidRDefault="00C813B4" w:rsidP="00C813B4">
      <w:pPr>
        <w:spacing w:after="0" w:line="360" w:lineRule="auto"/>
        <w:jc w:val="both"/>
        <w:rPr>
          <w:rFonts w:ascii="David" w:eastAsia="Times New Roman" w:hAnsi="David" w:cs="David"/>
          <w:b/>
          <w:bCs/>
          <w:noProof/>
          <w:sz w:val="24"/>
          <w:szCs w:val="24"/>
          <w:u w:val="single"/>
          <w:rtl/>
        </w:rPr>
      </w:pPr>
      <w:r w:rsidRPr="00C813B4">
        <w:rPr>
          <w:rFonts w:ascii="David" w:eastAsia="Times New Roman" w:hAnsi="David" w:cs="David" w:hint="cs"/>
          <w:b/>
          <w:bCs/>
          <w:noProof/>
          <w:sz w:val="24"/>
          <w:szCs w:val="24"/>
          <w:u w:val="single"/>
          <w:rtl/>
        </w:rPr>
        <w:t>דיון והכרעה</w:t>
      </w: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לאחר שקראתי טיעוני הצדדים, שמעתי טיעונים בעל פה, נדרשתי לכל הנתונים הצריכים לעניין, הגעתי לכלל מסקנה כי דין הערר להידחות וכך גם הבקשה החלופית שהוצגה במהלך הדיון להשהות את ביצוע ההחלטה בכשבועיים נוספים.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החלטת בית משפט קמא, במובהק, נותנת ביטוי לטובת הקטינה שזהו העיקרון החשוב שאמור להנחותו.</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הבסיס העובדתי להחלטת בית משפט קמא, מפורט בתסקיר שנלווה לבקשה המקורית. בעניין זה, ובקצרה, לא עצם היות האם או האב מתמודדי נפש הביאו להוצאתה של הקטינה, אלא שורה של נתונים כבדי משקל כל אחד בפני עצמו, לא כל שכן בהצטברותם יחדיו. הואיל והאם לא הגישה ערר </w:t>
      </w:r>
      <w:r w:rsidRPr="00C813B4">
        <w:rPr>
          <w:rFonts w:ascii="David" w:eastAsia="Times New Roman" w:hAnsi="David" w:cs="David" w:hint="cs"/>
          <w:noProof/>
          <w:sz w:val="24"/>
          <w:szCs w:val="24"/>
          <w:rtl/>
        </w:rPr>
        <w:lastRenderedPageBreak/>
        <w:t xml:space="preserve">על החלטת בית משפט קמא, אתייחס בהחלטה זו לנתונים הנוגעים לעורר בלבד, אם כי מצבה הנפשי של האם מצוי ברקע הדברים.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כפי העולה, כבר בחודש אפריל 2023 הגיעו דיווחים על הזנחה של הקטינים, דאגה למצבם וחשש כי הם נמצאים בסיכון וזאת בשעה שהאם הועברה לאשפוז מלא נוכח מצבה הנפשי. בשל האמור, בחודש יוני 2023, נערכה וועדה ממנה שוב עלתה דאגה למצבם של הקטינים ובכלל אלה, הקטינה נשוא ערר זה. נלמד כי העורר מתקשה להמשיך ולטפל בהם כפי שעשה עד כה, כך נלמד גם כי אין בנמצא גורמי תמיכה משפחתיים משמעותיים. בשל האמור, הוחלט על העברת הקטינים למשפחות קלט. כפי הנלמד, במהלך תקופה זו, ההורים ובכללם העורר, התקשו לעמוד בהסדרים שנקבעו להם, הגיעו ללא הודעות מוקדמות, יצרו קשר בניגוד למסוכם ולא אפשרו יציבות וקביעות לילדים.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מן הראוי להתייחס לדברים שנאמרו מפי העורר עצמו במסגרת דיון שנערך ביום 21.09.23 בנוגע ליכולתו ההורית. בעניין זה, ועל פי הנלמד מהפרוטוקול, העורר אמר כי "</w:t>
      </w:r>
      <w:r w:rsidRPr="00C813B4">
        <w:rPr>
          <w:rFonts w:ascii="David" w:eastAsia="Times New Roman" w:hAnsi="David" w:cs="David" w:hint="cs"/>
          <w:b/>
          <w:bCs/>
          <w:noProof/>
          <w:sz w:val="24"/>
          <w:szCs w:val="24"/>
          <w:rtl/>
        </w:rPr>
        <w:t>אין לו יציבות, לא מבין מי יטפל בילדים ומי ידאג להם...אומר שיכול להחזיק מעמד רק שלושה שבועות גם עם הילדים כבר שבר קירות בשביל הילדים והוא לא יכול להתמודד עם זה לבד</w:t>
      </w:r>
      <w:r w:rsidRPr="00C813B4">
        <w:rPr>
          <w:rFonts w:ascii="David" w:eastAsia="Times New Roman" w:hAnsi="David" w:cs="David" w:hint="cs"/>
          <w:noProof/>
          <w:sz w:val="24"/>
          <w:szCs w:val="24"/>
          <w:rtl/>
        </w:rPr>
        <w:t>". עמדת העו"סית במסגרת אותה ישיבה הייתה כי הקטינים ובכללם הקטינה, עוברים חוויות מטלטלות, המעבר בין המשפחות השונות דורש מהם תשומות רבות "</w:t>
      </w:r>
      <w:r w:rsidRPr="00C813B4">
        <w:rPr>
          <w:rFonts w:ascii="David" w:eastAsia="Times New Roman" w:hAnsi="David" w:cs="David" w:hint="cs"/>
          <w:b/>
          <w:bCs/>
          <w:noProof/>
          <w:sz w:val="24"/>
          <w:szCs w:val="24"/>
          <w:rtl/>
        </w:rPr>
        <w:t>והם מתנהלים בשגרה של בית שהוא לא טיפולי והוא מורכב מאוד, מבחינה רגשית לילדים</w:t>
      </w:r>
      <w:r w:rsidRPr="00C813B4">
        <w:rPr>
          <w:rFonts w:ascii="David" w:eastAsia="Times New Roman" w:hAnsi="David" w:cs="David" w:hint="cs"/>
          <w:noProof/>
          <w:sz w:val="24"/>
          <w:szCs w:val="24"/>
          <w:rtl/>
        </w:rPr>
        <w:t xml:space="preserve">".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בין לבין, הוגשה כאמור תלונה של אם הקטינה כנגד העורר בגין ביצוע לכאורה של עבירת אינוס. העורר נעצר ושוחרר, בין היתר, בתנאי הרחקה מהאם ל-45 יום ואיסור יצירת קשר ל-90 יום.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אין חולק כי עומדת לעורר זכות החפות וממילא אין בכוונת בית המשפט להידרש לשאלה האם יש ראיות לכאורה לנטען כלפיו. ואולם, החשוב לענייננו הוא קיומו של סכסוך מר בין ההורים, לרבות טענות הדדיות קשות כאשר, כפי הנלמד, בכוונת העורר להתגרש מאם הקטינה. נתון זה מקשה עוד יותר על הקטינה, מעצים את נזקקותה, מעמידה בקונפליקט נאמות וממילא מקשה עד מאוד להיעתר לבקשה להשיבה לעותר או למי מבני משפחתו.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אם בכל אלה אין די, הרי שאנו מצוים בתקופת חירום שלא ידענו כמותה. לענייננו, חשובה העובדה כי תקופת חירום זו מקשה עד מאוד על גורמי הטיפול באזור הדרום להתפנות ולתת לקטינה את המענה שלו היא זקוקה בדחיפות. מענה שכזה לא יינתן לה היה ותמצא בחסות האב.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lastRenderedPageBreak/>
        <w:t xml:space="preserve">להשלמת התמונה, יצוין כי ככל שהדבר נוגע למשפחת האב המוצעת על ידו, הרי שמעבר לכך שהיא במישרין ובעקיפין קובעת עובדה בנוגע לסכסוך שהתגלע בין העורר לבין אם הקטינה, בחינתה אינה דבר שצריך להיעשות במעמד דיון משל מדובר בבחינת חלופת מעצר. הרלוונטיות של אותה משפחה, אם בכלל, צריכה להיעשות בשום שכל על ידי גורמי המקצוע ולא כלאחר יד. יודגש כי אין באמור כדי להביע דעה לגביה.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משנאמרו הדברים, מרכז החירום הוא הפתרון הראוי לקטינה, לא כל שכן כאשר בית המשפט בוחן את החלופות האחרות שהוצגו בפניו. יש להצר על האופן שבו צויר מרכז החירום על ידי ב"כ העורר הקודם בטיעוניו בכתב. כפי שבית משפט קמא ציין, גם מותב זה רואה להעלות על נס את אותם מרכזי חירום שמאפשרים מתן מענה טיפולי הולם, יציבות, מעטפת תומכת וכל שנדרש לקטינה נשוא ערר זה.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החלטת בית משפט קמא אינה קובעת את מקום משמורתה של הקטינה באופן סופי, אלא מהווה עבורה "נקודת עיגון" בה תוכל לנוח לאחר מעבר תכוף בין משפחות ומקומות מגורים שונים.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במסגרת המרכז, הקטינה לא תחשף לסכסוף שהתגלע בין ההורים, אדרבא, במסגרתו ניתן יהיה, כך יש להניח, למסד קשר בריא, מפוקח וראוי עם מי מהורי הקטינה ולבנות לה תוכנית ראויה לעתיד. המרכז אינו מצוי בדרומה של הארץ ובכך גם חשיפתה של הקטינה למצב החירום יצטמצם באופן יחסי.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המפורט לעיל יש בו גם לתת מענה לבקשה החלופית בנוגע לעיכוב הביצוע. הדברים אמורים בשל הנזקקות הטיפולית המובהקת שמן הראוי שיינתן לה מענה מיידי וזאת בנפרד מחוסר הבהירות לגבי האפשרות שתמשיך לשהות אצל משפחת הקלט הנוכחית או משפחה אחרת. </w:t>
      </w:r>
    </w:p>
    <w:p w:rsidR="00C813B4" w:rsidRPr="00C813B4" w:rsidRDefault="00C813B4" w:rsidP="00C813B4">
      <w:pPr>
        <w:spacing w:after="0" w:line="360" w:lineRule="auto"/>
        <w:jc w:val="both"/>
        <w:rPr>
          <w:rFonts w:ascii="David" w:eastAsia="Times New Roman" w:hAnsi="David" w:cs="David"/>
          <w:noProof/>
          <w:sz w:val="24"/>
          <w:szCs w:val="24"/>
          <w:rtl/>
        </w:rPr>
      </w:pPr>
    </w:p>
    <w:p w:rsidR="00C813B4" w:rsidRPr="00C813B4" w:rsidRDefault="00C813B4" w:rsidP="00C813B4">
      <w:pPr>
        <w:spacing w:after="0" w:line="360" w:lineRule="auto"/>
        <w:jc w:val="both"/>
        <w:rPr>
          <w:rFonts w:ascii="David" w:eastAsia="Times New Roman" w:hAnsi="David" w:cs="David"/>
          <w:noProof/>
          <w:sz w:val="24"/>
          <w:szCs w:val="24"/>
          <w:rtl/>
        </w:rPr>
      </w:pPr>
      <w:r w:rsidRPr="00C813B4">
        <w:rPr>
          <w:rFonts w:ascii="David" w:eastAsia="Times New Roman" w:hAnsi="David" w:cs="David" w:hint="cs"/>
          <w:noProof/>
          <w:sz w:val="24"/>
          <w:szCs w:val="24"/>
          <w:rtl/>
        </w:rPr>
        <w:t xml:space="preserve">במכלול הנתונים, לא נפלה כל שגגה בהחלטת בית משפט קמא ועל כן, הערר נדחה. </w:t>
      </w:r>
    </w:p>
    <w:p w:rsidR="00C813B4" w:rsidRPr="00C813B4" w:rsidRDefault="00C813B4" w:rsidP="00C813B4">
      <w:pPr>
        <w:spacing w:after="0" w:line="360" w:lineRule="auto"/>
        <w:jc w:val="both"/>
        <w:rPr>
          <w:rFonts w:ascii="David" w:eastAsia="Times New Roman" w:hAnsi="David" w:cs="David"/>
          <w:noProof/>
          <w:sz w:val="6"/>
          <w:szCs w:val="6"/>
          <w:rtl/>
        </w:rPr>
      </w:pPr>
    </w:p>
    <w:p w:rsidR="00C813B4" w:rsidRPr="00C813B4" w:rsidRDefault="00C813B4" w:rsidP="00C813B4">
      <w:pPr>
        <w:spacing w:after="0" w:line="360" w:lineRule="auto"/>
        <w:jc w:val="both"/>
        <w:rPr>
          <w:rFonts w:ascii="David" w:eastAsia="Times New Roman" w:hAnsi="David" w:cs="David"/>
          <w:noProof/>
          <w:sz w:val="6"/>
          <w:szCs w:val="6"/>
          <w:rtl/>
        </w:rPr>
      </w:pPr>
      <w:r w:rsidRPr="00C813B4">
        <w:rPr>
          <w:rFonts w:ascii="David" w:eastAsia="Times New Roman" w:hAnsi="David" w:cs="David"/>
          <w:noProof/>
          <w:sz w:val="6"/>
          <w:szCs w:val="6"/>
          <w:rtl/>
        </w:rPr>
        <w:t>&lt;#3#&gt;</w:t>
      </w:r>
    </w:p>
    <w:p w:rsidR="00C813B4" w:rsidRPr="008E774F" w:rsidRDefault="00C813B4" w:rsidP="00C813B4">
      <w:pPr>
        <w:spacing w:after="0" w:line="360" w:lineRule="auto"/>
        <w:rPr>
          <w:rFonts w:ascii="Times New Roman" w:eastAsia="Times New Roman" w:hAnsi="Times New Roman" w:cs="David"/>
          <w:b/>
          <w:bCs/>
          <w:noProof/>
          <w:sz w:val="24"/>
          <w:szCs w:val="24"/>
          <w:rtl/>
        </w:rPr>
      </w:pPr>
      <w:r w:rsidRPr="008E774F">
        <w:rPr>
          <w:rFonts w:ascii="Times New Roman" w:eastAsia="Times New Roman" w:hAnsi="Times New Roman" w:cs="David" w:hint="cs"/>
          <w:b/>
          <w:bCs/>
          <w:noProof/>
          <w:sz w:val="24"/>
          <w:szCs w:val="24"/>
          <w:rtl/>
        </w:rPr>
        <w:t xml:space="preserve">ניתנה והודעה היום </w:t>
      </w:r>
      <w:sdt>
        <w:sdtPr>
          <w:rPr>
            <w:rFonts w:ascii="Times New Roman" w:eastAsia="Times New Roman" w:hAnsi="Times New Roman" w:cs="David"/>
            <w:b/>
            <w:bCs/>
            <w:noProof/>
            <w:sz w:val="24"/>
            <w:szCs w:val="24"/>
            <w:rtl/>
          </w:rPr>
          <w:alias w:val="2207"/>
          <w:tag w:val="2207"/>
          <w:id w:val="1329636924"/>
          <w:text w:multiLine="1"/>
        </w:sdtPr>
        <w:sdtEndPr/>
        <w:sdtContent>
          <w:r w:rsidRPr="008E774F">
            <w:rPr>
              <w:rFonts w:ascii="Times New Roman" w:eastAsia="Times New Roman" w:hAnsi="Times New Roman" w:cs="David"/>
              <w:b/>
              <w:bCs/>
              <w:noProof/>
              <w:sz w:val="24"/>
              <w:szCs w:val="24"/>
              <w:rtl/>
            </w:rPr>
            <w:t>י"א חשוון תשפ"ד</w:t>
          </w:r>
        </w:sdtContent>
      </w:sdt>
      <w:r w:rsidRPr="008E774F">
        <w:rPr>
          <w:rFonts w:ascii="Times New Roman" w:eastAsia="Times New Roman" w:hAnsi="Times New Roman" w:cs="David" w:hint="cs"/>
          <w:b/>
          <w:bCs/>
          <w:noProof/>
          <w:sz w:val="24"/>
          <w:szCs w:val="24"/>
          <w:rtl/>
        </w:rPr>
        <w:t xml:space="preserve">, </w:t>
      </w:r>
      <w:sdt>
        <w:sdtPr>
          <w:rPr>
            <w:rFonts w:ascii="Times New Roman" w:eastAsia="Times New Roman" w:hAnsi="Times New Roman" w:cs="David"/>
            <w:b/>
            <w:bCs/>
            <w:noProof/>
            <w:sz w:val="24"/>
            <w:szCs w:val="24"/>
            <w:rtl/>
          </w:rPr>
          <w:alias w:val="2206"/>
          <w:tag w:val="2206"/>
          <w:id w:val="-1474593809"/>
          <w:text w:multiLine="1"/>
        </w:sdtPr>
        <w:sdtEndPr/>
        <w:sdtContent>
          <w:r w:rsidRPr="008E774F">
            <w:rPr>
              <w:rFonts w:ascii="Times New Roman" w:eastAsia="Times New Roman" w:hAnsi="Times New Roman" w:cs="David"/>
              <w:b/>
              <w:bCs/>
              <w:noProof/>
              <w:sz w:val="24"/>
              <w:szCs w:val="24"/>
            </w:rPr>
            <w:t>26/10/2023</w:t>
          </w:r>
        </w:sdtContent>
      </w:sdt>
      <w:r w:rsidRPr="008E774F">
        <w:rPr>
          <w:rFonts w:ascii="Times New Roman" w:eastAsia="Times New Roman" w:hAnsi="Times New Roman" w:cs="David" w:hint="cs"/>
          <w:b/>
          <w:bCs/>
          <w:noProof/>
          <w:sz w:val="24"/>
          <w:szCs w:val="24"/>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813B4" w:rsidRPr="00C813B4" w:rsidTr="000C4FC7">
        <w:trPr>
          <w:trHeight w:val="316"/>
          <w:jc w:val="right"/>
        </w:trPr>
        <w:tc>
          <w:tcPr>
            <w:tcW w:w="3936" w:type="dxa"/>
            <w:vAlign w:val="center"/>
          </w:tcPr>
          <w:p w:rsidR="00C813B4" w:rsidRPr="00C813B4" w:rsidRDefault="00054ADD" w:rsidP="00C813B4">
            <w:pPr>
              <w:jc w:val="center"/>
              <w:rPr>
                <w:rFonts w:cs="David"/>
                <w:noProof/>
                <w:sz w:val="24"/>
                <w:szCs w:val="24"/>
              </w:rPr>
            </w:pPr>
            <w:sdt>
              <w:sdtPr>
                <w:rPr>
                  <w:rFonts w:cs="David"/>
                  <w:noProof/>
                  <w:sz w:val="24"/>
                  <w:szCs w:val="24"/>
                  <w:rtl/>
                </w:rPr>
                <w:alias w:val="MergeField"/>
                <w:tag w:val="2144"/>
                <w:id w:val="-507138708"/>
              </w:sdtPr>
              <w:sdtEndPr/>
              <w:sdtContent>
                <w:r w:rsidR="00C813B4" w:rsidRPr="00C813B4">
                  <w:rPr>
                    <w:rFonts w:cs="David"/>
                    <w:noProof/>
                    <w:sz w:val="24"/>
                    <w:szCs w:val="24"/>
                  </w:rPr>
                  <w:drawing>
                    <wp:inline distT="0" distB="0" distL="0" distR="0" wp14:anchorId="579CA357" wp14:editId="2F331653">
                      <wp:extent cx="1028700" cy="4286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6" cstate="print">
                                <a:extLst/>
                              </a:blip>
                              <a:stretch>
                                <a:fillRect/>
                              </a:stretch>
                            </pic:blipFill>
                            <pic:spPr>
                              <a:xfrm>
                                <a:off x="0" y="0"/>
                                <a:ext cx="1028700" cy="428625"/>
                              </a:xfrm>
                              <a:prstGeom prst="rect">
                                <a:avLst/>
                              </a:prstGeom>
                            </pic:spPr>
                          </pic:pic>
                        </a:graphicData>
                      </a:graphic>
                    </wp:inline>
                  </w:drawing>
                </w:r>
              </w:sdtContent>
            </w:sdt>
          </w:p>
          <w:p w:rsidR="00C813B4" w:rsidRPr="00C813B4" w:rsidRDefault="00C813B4" w:rsidP="00C813B4">
            <w:pPr>
              <w:jc w:val="center"/>
              <w:rPr>
                <w:rFonts w:cs="David"/>
                <w:noProof/>
                <w:sz w:val="24"/>
                <w:szCs w:val="24"/>
                <w:rtl/>
              </w:rPr>
            </w:pPr>
          </w:p>
        </w:tc>
      </w:tr>
      <w:tr w:rsidR="00C813B4" w:rsidRPr="00C813B4" w:rsidTr="000C4FC7">
        <w:trPr>
          <w:trHeight w:val="361"/>
          <w:jc w:val="right"/>
        </w:trPr>
        <w:tc>
          <w:tcPr>
            <w:tcW w:w="3936" w:type="dxa"/>
            <w:vAlign w:val="center"/>
          </w:tcPr>
          <w:p w:rsidR="00C813B4" w:rsidRPr="00C813B4" w:rsidRDefault="00054ADD" w:rsidP="00C813B4">
            <w:pPr>
              <w:jc w:val="center"/>
              <w:rPr>
                <w:rFonts w:cs="David"/>
                <w:b/>
                <w:bCs/>
                <w:noProof/>
                <w:sz w:val="24"/>
                <w:szCs w:val="24"/>
                <w:rtl/>
              </w:rPr>
            </w:pPr>
            <w:sdt>
              <w:sdtPr>
                <w:rPr>
                  <w:rFonts w:cs="David"/>
                  <w:b/>
                  <w:bCs/>
                  <w:noProof/>
                  <w:sz w:val="24"/>
                  <w:szCs w:val="24"/>
                  <w:rtl/>
                </w:rPr>
                <w:alias w:val="2141"/>
                <w:tag w:val="2141"/>
                <w:id w:val="2119712613"/>
                <w:placeholder>
                  <w:docPart w:val="C6A309C129D44B05804CACBB504B19B2"/>
                </w:placeholder>
                <w:text w:multiLine="1"/>
              </w:sdtPr>
              <w:sdtEndPr/>
              <w:sdtContent>
                <w:r w:rsidR="00C813B4" w:rsidRPr="00C813B4">
                  <w:rPr>
                    <w:rFonts w:cs="David"/>
                    <w:b/>
                    <w:bCs/>
                    <w:noProof/>
                    <w:sz w:val="24"/>
                    <w:szCs w:val="24"/>
                    <w:rtl/>
                  </w:rPr>
                  <w:t>דניאל</w:t>
                </w:r>
              </w:sdtContent>
            </w:sdt>
            <w:r w:rsidR="00C813B4" w:rsidRPr="00C813B4">
              <w:rPr>
                <w:rFonts w:cs="David" w:hint="cs"/>
                <w:b/>
                <w:bCs/>
                <w:noProof/>
                <w:sz w:val="24"/>
                <w:szCs w:val="24"/>
                <w:rtl/>
              </w:rPr>
              <w:t xml:space="preserve"> </w:t>
            </w:r>
            <w:sdt>
              <w:sdtPr>
                <w:rPr>
                  <w:rFonts w:cs="David" w:hint="cs"/>
                  <w:b/>
                  <w:bCs/>
                  <w:noProof/>
                  <w:sz w:val="24"/>
                  <w:szCs w:val="24"/>
                  <w:rtl/>
                </w:rPr>
                <w:alias w:val="2142"/>
                <w:tag w:val="2142"/>
                <w:id w:val="-26639521"/>
                <w:placeholder>
                  <w:docPart w:val="5877E5B62C454C889526980E91F7DD68"/>
                </w:placeholder>
                <w:text w:multiLine="1"/>
              </w:sdtPr>
              <w:sdtEndPr/>
              <w:sdtContent>
                <w:r w:rsidR="00C813B4" w:rsidRPr="00C813B4">
                  <w:rPr>
                    <w:rFonts w:cs="David"/>
                    <w:b/>
                    <w:bCs/>
                    <w:noProof/>
                    <w:sz w:val="24"/>
                    <w:szCs w:val="24"/>
                    <w:rtl/>
                  </w:rPr>
                  <w:t>בן טולילה</w:t>
                </w:r>
              </w:sdtContent>
            </w:sdt>
            <w:r w:rsidR="00C813B4" w:rsidRPr="00C813B4">
              <w:rPr>
                <w:rFonts w:cs="David" w:hint="cs"/>
                <w:b/>
                <w:bCs/>
                <w:noProof/>
                <w:sz w:val="24"/>
                <w:szCs w:val="24"/>
                <w:rtl/>
              </w:rPr>
              <w:t xml:space="preserve">, </w:t>
            </w:r>
            <w:sdt>
              <w:sdtPr>
                <w:rPr>
                  <w:rFonts w:cs="David" w:hint="cs"/>
                  <w:b/>
                  <w:bCs/>
                  <w:noProof/>
                  <w:sz w:val="24"/>
                  <w:szCs w:val="24"/>
                  <w:rtl/>
                </w:rPr>
                <w:alias w:val="2143"/>
                <w:tag w:val="2143"/>
                <w:id w:val="1647695366"/>
                <w:placeholder>
                  <w:docPart w:val="8E8356AE7AC543D6B252E86475123D94"/>
                </w:placeholder>
                <w:text w:multiLine="1"/>
              </w:sdtPr>
              <w:sdtEndPr/>
              <w:sdtContent>
                <w:r w:rsidR="00C813B4" w:rsidRPr="00C813B4">
                  <w:rPr>
                    <w:rFonts w:cs="David"/>
                    <w:b/>
                    <w:bCs/>
                    <w:noProof/>
                    <w:sz w:val="24"/>
                    <w:szCs w:val="24"/>
                    <w:rtl/>
                  </w:rPr>
                  <w:t>שופט</w:t>
                </w:r>
              </w:sdtContent>
            </w:sdt>
          </w:p>
        </w:tc>
      </w:tr>
    </w:tbl>
    <w:p w:rsidR="00C813B4" w:rsidRPr="00C813B4" w:rsidRDefault="00C813B4" w:rsidP="00C813B4">
      <w:pPr>
        <w:spacing w:after="0" w:line="360" w:lineRule="auto"/>
        <w:jc w:val="both"/>
        <w:rPr>
          <w:rFonts w:ascii="David" w:eastAsia="Times New Roman" w:hAnsi="David" w:cs="David"/>
          <w:noProof/>
          <w:sz w:val="24"/>
          <w:szCs w:val="24"/>
          <w:rtl/>
        </w:rPr>
      </w:pPr>
    </w:p>
    <w:p w:rsidR="00E53CDC" w:rsidRPr="00E66C67" w:rsidRDefault="00E66C67" w:rsidP="008E774F">
      <w:pPr>
        <w:spacing w:after="0" w:line="240" w:lineRule="auto"/>
        <w:rPr>
          <w:rFonts w:ascii="David" w:hAnsi="David" w:cs="David"/>
        </w:rPr>
      </w:pPr>
      <w:r w:rsidRPr="00E66C67">
        <w:rPr>
          <w:rFonts w:ascii="David" w:eastAsia="Times New Roman" w:hAnsi="David" w:cs="David" w:hint="cs"/>
          <w:noProof/>
          <w:sz w:val="16"/>
          <w:szCs w:val="16"/>
          <w:rtl/>
        </w:rPr>
        <w:t>***ב</w:t>
      </w:r>
      <w:r w:rsidRPr="00E66C67">
        <w:rPr>
          <w:rFonts w:ascii="David" w:eastAsia="Times New Roman" w:hAnsi="David" w:cs="David"/>
          <w:noProof/>
          <w:sz w:val="16"/>
          <w:szCs w:val="16"/>
          <w:rtl/>
        </w:rPr>
        <w:t>החלטה זו הושמטו פרטים</w:t>
      </w:r>
      <w:r w:rsidRPr="00E66C67">
        <w:rPr>
          <w:rFonts w:ascii="David" w:eastAsia="Times New Roman" w:hAnsi="David" w:cs="David" w:hint="cs"/>
          <w:noProof/>
          <w:sz w:val="16"/>
          <w:szCs w:val="16"/>
          <w:rtl/>
        </w:rPr>
        <w:t xml:space="preserve"> שהופיעו בזו המקורית הנוגעים לזהות הקטינה </w:t>
      </w:r>
      <w:r>
        <w:rPr>
          <w:rFonts w:ascii="David" w:eastAsia="Times New Roman" w:hAnsi="David" w:cs="David" w:hint="cs"/>
          <w:noProof/>
          <w:sz w:val="16"/>
          <w:szCs w:val="16"/>
          <w:rtl/>
        </w:rPr>
        <w:t>(</w:t>
      </w:r>
      <w:r w:rsidRPr="00E66C67">
        <w:rPr>
          <w:rFonts w:ascii="David" w:eastAsia="Times New Roman" w:hAnsi="David" w:cs="David" w:hint="cs"/>
          <w:noProof/>
          <w:sz w:val="16"/>
          <w:szCs w:val="16"/>
          <w:rtl/>
        </w:rPr>
        <w:t>או שעלולים היו להביא לזיהויה</w:t>
      </w:r>
      <w:r>
        <w:rPr>
          <w:rFonts w:ascii="David" w:eastAsia="Times New Roman" w:hAnsi="David" w:cs="David" w:hint="cs"/>
          <w:noProof/>
          <w:sz w:val="16"/>
          <w:szCs w:val="16"/>
          <w:rtl/>
        </w:rPr>
        <w:t>)</w:t>
      </w:r>
      <w:r w:rsidRPr="00E66C67">
        <w:rPr>
          <w:rFonts w:ascii="David" w:eastAsia="Times New Roman" w:hAnsi="David" w:cs="David" w:hint="cs"/>
          <w:noProof/>
          <w:sz w:val="16"/>
          <w:szCs w:val="16"/>
          <w:rtl/>
        </w:rPr>
        <w:t xml:space="preserve"> ונעשו תיקוני הגהה. </w:t>
      </w:r>
      <w:r w:rsidR="008E774F">
        <w:rPr>
          <w:rFonts w:ascii="David" w:hAnsi="David" w:cs="David" w:hint="cs"/>
          <w:rtl/>
        </w:rPr>
        <w:t xml:space="preserve"> </w:t>
      </w:r>
    </w:p>
    <w:sectPr w:rsidR="00E53CDC" w:rsidRPr="00E66C67" w:rsidSect="00D4125B">
      <w:headerReference w:type="even" r:id="rId7"/>
      <w:headerReference w:type="default" r:id="rId8"/>
      <w:footerReference w:type="even" r:id="rId9"/>
      <w:footerReference w:type="default" r:id="rId10"/>
      <w:headerReference w:type="first" r:id="rId11"/>
      <w:footerReference w:type="first" r:id="rId12"/>
      <w:pgSz w:w="11907" w:h="16840" w:code="9"/>
      <w:pgMar w:top="244" w:right="1701" w:bottom="2552" w:left="1701" w:header="187" w:footer="720" w:gutter="0"/>
      <w:lnNumType w:countBy="1"/>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491" w:rsidRDefault="008E774F">
      <w:pPr>
        <w:spacing w:after="0" w:line="240" w:lineRule="auto"/>
      </w:pPr>
      <w:r>
        <w:separator/>
      </w:r>
    </w:p>
  </w:endnote>
  <w:endnote w:type="continuationSeparator" w:id="0">
    <w:p w:rsidR="00750491" w:rsidRDefault="008E7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3BD" w:rsidRDefault="00E66C67" w:rsidP="00D4125B">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rtl/>
      </w:rPr>
      <w:t>1</w:t>
    </w:r>
    <w:r>
      <w:rPr>
        <w:rStyle w:val="a8"/>
        <w:rtl/>
      </w:rPr>
      <w:fldChar w:fldCharType="end"/>
    </w:r>
  </w:p>
  <w:p w:rsidR="00DF63C5" w:rsidRDefault="00054A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3BD" w:rsidRDefault="00E66C67" w:rsidP="00D4125B">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054ADD">
      <w:rPr>
        <w:rStyle w:val="a8"/>
        <w:rtl/>
      </w:rPr>
      <w:t>1</w:t>
    </w:r>
    <w:r>
      <w:rPr>
        <w:rStyle w:val="a8"/>
        <w:rtl/>
      </w:rPr>
      <w:fldChar w:fldCharType="end"/>
    </w:r>
  </w:p>
  <w:p w:rsidR="00DF63C5" w:rsidRDefault="00054AD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5B" w:rsidRDefault="00054A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491" w:rsidRDefault="008E774F">
      <w:pPr>
        <w:spacing w:after="0" w:line="240" w:lineRule="auto"/>
      </w:pPr>
      <w:r>
        <w:separator/>
      </w:r>
    </w:p>
  </w:footnote>
  <w:footnote w:type="continuationSeparator" w:id="0">
    <w:p w:rsidR="00750491" w:rsidRDefault="008E7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5B" w:rsidRDefault="00054AD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3C5" w:rsidRDefault="00054ADD">
    <w:pPr>
      <w:pStyle w:val="a3"/>
      <w:tabs>
        <w:tab w:val="clear" w:pos="8306"/>
      </w:tabs>
      <w:jc w:val="center"/>
    </w:pPr>
  </w:p>
  <w:p w:rsidR="00DF63C5" w:rsidRDefault="00E66C67">
    <w:pPr>
      <w:pStyle w:val="a3"/>
      <w:tabs>
        <w:tab w:val="clear" w:pos="8306"/>
      </w:tabs>
      <w:jc w:val="center"/>
      <w:rPr>
        <w:rtl/>
      </w:rPr>
    </w:pPr>
    <w:r>
      <w:drawing>
        <wp:inline distT="0" distB="0" distL="0" distR="0" wp14:anchorId="0A6AF73C" wp14:editId="449B66A7">
          <wp:extent cx="514350" cy="57150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57150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7"/>
      <w:gridCol w:w="236"/>
      <w:gridCol w:w="2052"/>
    </w:tblGrid>
    <w:tr w:rsidR="00DF63C5" w:rsidTr="007F13BD">
      <w:trPr>
        <w:trHeight w:hRule="exact" w:val="418"/>
        <w:jc w:val="center"/>
      </w:trPr>
      <w:sdt>
        <w:sdtPr>
          <w:rPr>
            <w:rtl/>
          </w:rPr>
          <w:alias w:val="162"/>
          <w:tag w:val="162"/>
          <w:id w:val="789489"/>
          <w:text w:multiLine="1"/>
        </w:sdtPr>
        <w:sdtEndPr/>
        <w:sdtContent>
          <w:tc>
            <w:tcPr>
              <w:tcW w:w="8505" w:type="dxa"/>
              <w:gridSpan w:val="3"/>
            </w:tcPr>
            <w:p w:rsidR="00DF63C5" w:rsidRDefault="00E66C67">
              <w:pPr>
                <w:pStyle w:val="a3"/>
                <w:tabs>
                  <w:tab w:val="clear" w:pos="8306"/>
                </w:tabs>
                <w:jc w:val="center"/>
                <w:rPr>
                  <w:rFonts w:ascii="Tahoma" w:hAnsi="Tahoma" w:cs="Tahoma"/>
                  <w:b/>
                  <w:bCs/>
                  <w:color w:val="000080"/>
                  <w:rtl/>
                </w:rPr>
              </w:pPr>
              <w:r>
                <w:rPr>
                  <w:rFonts w:ascii="Tahoma" w:hAnsi="Tahoma" w:cs="Tahoma"/>
                  <w:b/>
                  <w:bCs/>
                  <w:color w:val="000080"/>
                  <w:rtl/>
                </w:rPr>
                <w:t>בית משפט לנוער בבית המשפט המחוזי בבאר שבע</w:t>
              </w:r>
            </w:p>
          </w:tc>
        </w:sdtContent>
      </w:sdt>
    </w:tr>
    <w:tr w:rsidR="00DF63C5" w:rsidTr="007F13BD">
      <w:trPr>
        <w:trHeight w:val="337"/>
        <w:jc w:val="center"/>
      </w:trPr>
      <w:tc>
        <w:tcPr>
          <w:tcW w:w="6217" w:type="dxa"/>
        </w:tcPr>
        <w:p w:rsidR="00DF63C5" w:rsidRDefault="00054ADD" w:rsidP="007F13BD">
          <w:sdt>
            <w:sdtPr>
              <w:rPr>
                <w:rtl/>
              </w:rPr>
              <w:alias w:val="293"/>
              <w:tag w:val="293"/>
              <w:id w:val="875824741"/>
              <w:text w:multiLine="1"/>
            </w:sdtPr>
            <w:sdtEndPr/>
            <w:sdtContent>
              <w:r w:rsidR="00E66C67">
                <w:rPr>
                  <w:rFonts w:hint="cs"/>
                  <w:b/>
                  <w:bCs/>
                  <w:sz w:val="26"/>
                  <w:szCs w:val="26"/>
                  <w:rtl/>
                </w:rPr>
                <w:t>לפני כבוד השופט דניאל בן טולילה</w:t>
              </w:r>
            </w:sdtContent>
          </w:sdt>
        </w:p>
        <w:p w:rsidR="004A6E19" w:rsidRDefault="00054ADD">
          <w:pPr>
            <w:rPr>
              <w:b/>
              <w:bCs/>
              <w:sz w:val="26"/>
              <w:szCs w:val="26"/>
              <w:rtl/>
            </w:rPr>
          </w:pPr>
        </w:p>
      </w:tc>
      <w:tc>
        <w:tcPr>
          <w:tcW w:w="236" w:type="dxa"/>
        </w:tcPr>
        <w:p w:rsidR="00DF63C5" w:rsidRDefault="00054ADD">
          <w:pPr>
            <w:pStyle w:val="a3"/>
            <w:jc w:val="center"/>
            <w:rPr>
              <w:b/>
              <w:bCs/>
              <w:sz w:val="26"/>
              <w:szCs w:val="26"/>
              <w:rtl/>
            </w:rPr>
          </w:pPr>
        </w:p>
      </w:tc>
      <w:tc>
        <w:tcPr>
          <w:tcW w:w="2052" w:type="dxa"/>
        </w:tcPr>
        <w:sdt>
          <w:sdtPr>
            <w:rPr>
              <w:b/>
              <w:bCs/>
              <w:sz w:val="26"/>
              <w:szCs w:val="26"/>
              <w:rtl/>
            </w:rPr>
            <w:alias w:val="2633"/>
            <w:tag w:val="2633"/>
            <w:id w:val="-1379775498"/>
            <w:placeholder>
              <w:docPart w:val="C6A309C129D44B05804CACBB504B19B2"/>
            </w:placeholder>
            <w:showingPlcHdr/>
            <w:text w:multiLine="1"/>
          </w:sdtPr>
          <w:sdtEndPr/>
          <w:sdtContent>
            <w:p w:rsidR="00DF63C5" w:rsidRDefault="00E66C67" w:rsidP="007F13BD">
              <w:pPr>
                <w:pStyle w:val="a3"/>
                <w:spacing w:line="360" w:lineRule="auto"/>
                <w:jc w:val="right"/>
                <w:rPr>
                  <w:b/>
                  <w:bCs/>
                  <w:sz w:val="26"/>
                  <w:szCs w:val="26"/>
                  <w:rtl/>
                </w:rPr>
              </w:pPr>
              <w:r w:rsidRPr="00D03C44">
                <w:rPr>
                  <w:b/>
                  <w:bCs/>
                  <w:sz w:val="26"/>
                  <w:szCs w:val="26"/>
                  <w:rtl/>
                </w:rPr>
                <w:t>26 אוקטובר 2023</w:t>
              </w:r>
            </w:p>
          </w:sdtContent>
        </w:sdt>
        <w:p w:rsidR="007F13BD" w:rsidRDefault="00054ADD" w:rsidP="007F13BD">
          <w:pPr>
            <w:pStyle w:val="a3"/>
            <w:spacing w:line="360" w:lineRule="auto"/>
            <w:jc w:val="right"/>
            <w:rPr>
              <w:b/>
              <w:bCs/>
              <w:sz w:val="26"/>
              <w:szCs w:val="26"/>
              <w:rtl/>
            </w:rPr>
          </w:pPr>
          <w:sdt>
            <w:sdtPr>
              <w:rPr>
                <w:rtl/>
              </w:rPr>
              <w:alias w:val="849"/>
              <w:tag w:val="849"/>
              <w:id w:val="1964685012"/>
              <w:text w:multiLine="1"/>
            </w:sdtPr>
            <w:sdtEndPr/>
            <w:sdtContent>
              <w:r w:rsidR="00E66C67">
                <w:rPr>
                  <w:rFonts w:hint="cs"/>
                  <w:b/>
                  <w:bCs/>
                  <w:sz w:val="26"/>
                  <w:szCs w:val="26"/>
                  <w:rtl/>
                </w:rPr>
                <w:t>ענ"א</w:t>
              </w:r>
            </w:sdtContent>
          </w:sdt>
          <w:r w:rsidR="00E66C67">
            <w:rPr>
              <w:rFonts w:hint="cs"/>
              <w:b/>
              <w:bCs/>
              <w:sz w:val="26"/>
              <w:szCs w:val="26"/>
              <w:rtl/>
            </w:rPr>
            <w:t xml:space="preserve"> </w:t>
          </w:r>
          <w:sdt>
            <w:sdtPr>
              <w:rPr>
                <w:rtl/>
              </w:rPr>
              <w:alias w:val="158"/>
              <w:tag w:val="158"/>
              <w:id w:val="966701956"/>
              <w:text w:multiLine="1"/>
            </w:sdtPr>
            <w:sdtEndPr/>
            <w:sdtContent>
              <w:r w:rsidR="00E66C67">
                <w:rPr>
                  <w:rFonts w:hint="cs"/>
                  <w:b/>
                  <w:bCs/>
                  <w:sz w:val="26"/>
                  <w:szCs w:val="26"/>
                  <w:rtl/>
                </w:rPr>
                <w:t>43593-10-23</w:t>
              </w:r>
            </w:sdtContent>
          </w:sdt>
        </w:p>
      </w:tc>
    </w:tr>
  </w:tbl>
  <w:p w:rsidR="00DF63C5" w:rsidRDefault="00054ADD">
    <w:pPr>
      <w:pStyle w:val="a3"/>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5B" w:rsidRDefault="00054AD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3B4"/>
    <w:rsid w:val="00054ADD"/>
    <w:rsid w:val="004C2C0E"/>
    <w:rsid w:val="00750491"/>
    <w:rsid w:val="008601C5"/>
    <w:rsid w:val="008E774F"/>
    <w:rsid w:val="00C06D9D"/>
    <w:rsid w:val="00C813B4"/>
    <w:rsid w:val="00E53CDC"/>
    <w:rsid w:val="00E55243"/>
    <w:rsid w:val="00E66C6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D40ECFD-3DC5-473D-9F04-09E22B06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13B4"/>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C813B4"/>
    <w:rPr>
      <w:rFonts w:ascii="Times New Roman" w:eastAsia="Times New Roman" w:hAnsi="Times New Roman" w:cs="David"/>
      <w:noProof/>
      <w:sz w:val="24"/>
      <w:szCs w:val="24"/>
    </w:rPr>
  </w:style>
  <w:style w:type="paragraph" w:styleId="a5">
    <w:name w:val="footer"/>
    <w:basedOn w:val="a"/>
    <w:link w:val="a6"/>
    <w:rsid w:val="00C813B4"/>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C813B4"/>
    <w:rPr>
      <w:rFonts w:ascii="Times New Roman" w:eastAsia="Times New Roman" w:hAnsi="Times New Roman" w:cs="David"/>
      <w:noProof/>
      <w:sz w:val="24"/>
      <w:szCs w:val="24"/>
    </w:rPr>
  </w:style>
  <w:style w:type="table" w:styleId="a7">
    <w:name w:val="Table Grid"/>
    <w:basedOn w:val="a1"/>
    <w:rsid w:val="00C813B4"/>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emiHidden/>
    <w:unhideWhenUsed/>
    <w:rsid w:val="00C813B4"/>
  </w:style>
  <w:style w:type="character" w:styleId="a9">
    <w:name w:val="line number"/>
    <w:basedOn w:val="a0"/>
    <w:uiPriority w:val="99"/>
    <w:semiHidden/>
    <w:unhideWhenUsed/>
    <w:rsid w:val="00C81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A309C129D44B05804CACBB504B19B2"/>
        <w:category>
          <w:name w:val="כללי"/>
          <w:gallery w:val="placeholder"/>
        </w:category>
        <w:types>
          <w:type w:val="bbPlcHdr"/>
        </w:types>
        <w:behaviors>
          <w:behavior w:val="content"/>
        </w:behaviors>
        <w:guid w:val="{807A0941-C73B-4137-BAC2-F0EF0076C71F}"/>
      </w:docPartPr>
      <w:docPartBody>
        <w:p w:rsidR="00CE4220" w:rsidRDefault="00B42F48" w:rsidP="00B42F48">
          <w:pPr>
            <w:pStyle w:val="C6A309C129D44B05804CACBB504B19B2"/>
          </w:pPr>
          <w:r w:rsidRPr="002A7028">
            <w:rPr>
              <w:rFonts w:cs="David"/>
              <w:b/>
              <w:bCs/>
              <w:rtl/>
            </w:rPr>
            <w:t>שם פרטי חותם</w:t>
          </w:r>
        </w:p>
      </w:docPartBody>
    </w:docPart>
    <w:docPart>
      <w:docPartPr>
        <w:name w:val="5877E5B62C454C889526980E91F7DD68"/>
        <w:category>
          <w:name w:val="כללי"/>
          <w:gallery w:val="placeholder"/>
        </w:category>
        <w:types>
          <w:type w:val="bbPlcHdr"/>
        </w:types>
        <w:behaviors>
          <w:behavior w:val="content"/>
        </w:behaviors>
        <w:guid w:val="{4F455868-CB8D-4CAB-8F98-59282B1D243E}"/>
      </w:docPartPr>
      <w:docPartBody>
        <w:p w:rsidR="00CE4220" w:rsidRDefault="00B42F48" w:rsidP="00B42F48">
          <w:pPr>
            <w:pStyle w:val="5877E5B62C454C889526980E91F7DD68"/>
          </w:pPr>
          <w:r w:rsidRPr="002A7028">
            <w:rPr>
              <w:rFonts w:cs="David"/>
              <w:b/>
              <w:bCs/>
              <w:rtl/>
            </w:rPr>
            <w:t>שם משפחה חותם</w:t>
          </w:r>
        </w:p>
      </w:docPartBody>
    </w:docPart>
    <w:docPart>
      <w:docPartPr>
        <w:name w:val="8E8356AE7AC543D6B252E86475123D94"/>
        <w:category>
          <w:name w:val="כללי"/>
          <w:gallery w:val="placeholder"/>
        </w:category>
        <w:types>
          <w:type w:val="bbPlcHdr"/>
        </w:types>
        <w:behaviors>
          <w:behavior w:val="content"/>
        </w:behaviors>
        <w:guid w:val="{89600328-300D-44F0-AFEE-5DF2304F473B}"/>
      </w:docPartPr>
      <w:docPartBody>
        <w:p w:rsidR="00CE4220" w:rsidRDefault="00B42F48" w:rsidP="00B42F48">
          <w:pPr>
            <w:pStyle w:val="8E8356AE7AC543D6B252E86475123D94"/>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F48"/>
    <w:rsid w:val="00B42F48"/>
    <w:rsid w:val="00CE422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A309C129D44B05804CACBB504B19B2">
    <w:name w:val="C6A309C129D44B05804CACBB504B19B2"/>
    <w:rsid w:val="00B42F48"/>
    <w:pPr>
      <w:bidi/>
    </w:pPr>
  </w:style>
  <w:style w:type="paragraph" w:customStyle="1" w:styleId="5877E5B62C454C889526980E91F7DD68">
    <w:name w:val="5877E5B62C454C889526980E91F7DD68"/>
    <w:rsid w:val="00B42F48"/>
    <w:pPr>
      <w:bidi/>
    </w:pPr>
  </w:style>
  <w:style w:type="paragraph" w:customStyle="1" w:styleId="8E8356AE7AC543D6B252E86475123D94">
    <w:name w:val="8E8356AE7AC543D6B252E86475123D94"/>
    <w:rsid w:val="00B42F4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1197</Words>
  <Characters>5985</Characters>
  <Application>Microsoft Office Word</Application>
  <DocSecurity>4</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דניאל בן טולילה</dc:creator>
  <cp:keywords/>
  <dc:description/>
  <cp:lastModifiedBy>גרמאו מנגיסטו</cp:lastModifiedBy>
  <cp:revision>2</cp:revision>
  <dcterms:created xsi:type="dcterms:W3CDTF">2023-11-01T12:02:00Z</dcterms:created>
  <dcterms:modified xsi:type="dcterms:W3CDTF">2023-11-01T12:02:00Z</dcterms:modified>
</cp:coreProperties>
</file>